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FD40F7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Déchets Verts 90X90X120 1500kg Ultra-Résitant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FD40F7" w:rsidRPr="00761A4D">
        <w:rPr>
          <w:rFonts w:ascii="Arial" w:hAnsi="Arial" w:cs="Arial"/>
          <w:noProof/>
          <w:sz w:val="18"/>
          <w:szCs w:val="18"/>
          <w:lang w:val="en-GB"/>
        </w:rPr>
        <w:t>BBS90X90X120-4S-1500-N-OT-FP-C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FD40F7" w:rsidRPr="00761A4D">
        <w:rPr>
          <w:rFonts w:ascii="Arial" w:hAnsi="Arial" w:cs="Arial"/>
          <w:noProof/>
          <w:sz w:val="18"/>
          <w:szCs w:val="18"/>
          <w:lang w:val="en-GB"/>
        </w:rPr>
        <w:t>328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  <w:bookmarkEnd w:id="0"/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120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>
              <w:rPr>
                <w:rFonts w:ascii="Arial" w:hAnsi="Arial" w:cs="Arial"/>
                <w:noProof/>
                <w:sz w:val="24"/>
                <w:szCs w:val="24"/>
              </w:rPr>
              <w:t xml:space="preserve">  0,97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1500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Ouverture Totale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D40F7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Big Bag Déchets Verts 90X90X120 1500kg Ultra-Résitant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Big Bag  90X90X120 1500kg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1500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Résistance : 1500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Volume : 0,97 m3 (972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Ouverture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FD40F7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Construction Circulaire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Sangles Décroisées pour une prise plus facile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FD40F7" w:rsidRPr="00761A4D">
        <w:rPr>
          <w:noProof/>
          <w:color w:val="1F3864" w:themeColor="accent5" w:themeShade="80"/>
          <w:sz w:val="28"/>
          <w:szCs w:val="28"/>
        </w:rPr>
        <w:t>Déchets de Jardin pondéreux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FD40F7" w:rsidRPr="00761A4D">
      <w:rPr>
        <w:noProof/>
        <w:lang w:val="en-GB"/>
      </w:rPr>
      <w:t>BBS90X90X120-4S-1500-N-OT-FP-C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9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39EC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40F7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2E5F-E157-442D-A9EE-EE30C8A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2019-03-16T10:29:00Z</dcterms:created>
  <dcterms:modified xsi:type="dcterms:W3CDTF">2019-03-16T10:29:00Z</dcterms:modified>
</cp:coreProperties>
</file>